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Rule="auto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1. Báo cáo tình hình tài chính năm của doanh nghiệp đáp ứng giả định hoạt động liên tục</w:t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030"/>
        <w:gridCol w:w="5330"/>
        <w:tblGridChange w:id="0">
          <w:tblGrid>
            <w:gridCol w:w="4030"/>
            <w:gridCol w:w="53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Đơn vị báo cáo:……………………….</w:t>
            </w:r>
          </w:p>
          <w:p w:rsidR="00000000" w:rsidDel="00000000" w:rsidP="00000000" w:rsidRDefault="00000000" w:rsidRPr="00000000" w14:paraId="00000003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Địa chỉ:…………………………………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Mẫu số B 01 - DN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rtl w:val="0"/>
              </w:rPr>
              <w:t xml:space="preserve">(Kèm theo Thông tư số 99/2025/TT-BTC ngày 27 tháng 10 năm 2025 của Bộ trưởng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before="12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20" w:lineRule="auto"/>
        <w:jc w:val="center"/>
        <w:rPr>
          <w:rFonts w:ascii="Arial" w:cs="Arial" w:eastAsia="Arial" w:hAnsi="Arial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BÁO CÁO TÌNH HÌNH TÀI CHÍNH</w:t>
      </w:r>
    </w:p>
    <w:p w:rsidR="00000000" w:rsidDel="00000000" w:rsidP="00000000" w:rsidRDefault="00000000" w:rsidRPr="00000000" w14:paraId="00000007">
      <w:pPr>
        <w:spacing w:before="120" w:lineRule="auto"/>
        <w:jc w:val="center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Tại ngày... tháng... năm ... (1)</w:t>
      </w:r>
    </w:p>
    <w:p w:rsidR="00000000" w:rsidDel="00000000" w:rsidP="00000000" w:rsidRDefault="00000000" w:rsidRPr="00000000" w14:paraId="00000008">
      <w:pPr>
        <w:spacing w:before="120" w:lineRule="auto"/>
        <w:jc w:val="center"/>
        <w:rPr>
          <w:rFonts w:ascii="Arial" w:cs="Arial" w:eastAsia="Arial" w:hAnsi="Arial"/>
          <w:b w:val="1"/>
          <w:bCs w:val="1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(Áp dụng cho doanh nghiệp đáp ứng giả định hoạt động liên tục)</w:t>
      </w:r>
    </w:p>
    <w:p w:rsidR="00000000" w:rsidDel="00000000" w:rsidP="00000000" w:rsidRDefault="00000000" w:rsidRPr="00000000" w14:paraId="00000009">
      <w:pPr>
        <w:spacing w:before="120" w:lineRule="auto"/>
        <w:jc w:val="right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Đơn vị tính:…………</w:t>
      </w:r>
    </w:p>
    <w:tbl>
      <w:tblPr>
        <w:tblStyle w:val="Table2"/>
        <w:tblW w:w="93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86"/>
        <w:gridCol w:w="876"/>
        <w:gridCol w:w="1096"/>
        <w:gridCol w:w="868"/>
        <w:gridCol w:w="928"/>
        <w:tblGridChange w:id="0">
          <w:tblGrid>
            <w:gridCol w:w="5586"/>
            <w:gridCol w:w="876"/>
            <w:gridCol w:w="1096"/>
            <w:gridCol w:w="868"/>
            <w:gridCol w:w="928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TÀI SẢN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Mã số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Thuyết minh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Số cuối năm </w:t>
              <w:br w:type="textWrapping"/>
              <w:t xml:space="preserve">(3)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Số đầu năm </w:t>
              <w:br w:type="textWrapping"/>
              <w:t xml:space="preserve">(3)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before="120" w:lineRule="auto"/>
              <w:jc w:val="center"/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before="120" w:lineRule="auto"/>
              <w:jc w:val="center"/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before="120" w:lineRule="auto"/>
              <w:jc w:val="center"/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before="120" w:lineRule="auto"/>
              <w:jc w:val="center"/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before="120" w:lineRule="auto"/>
              <w:jc w:val="center"/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 - TÀI SẢN NGẮN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100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I. Tiền và các khoản tương đương tiền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110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1. Tiền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111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2. Các khoản tương đương tiền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112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II. Đầu tư tài chính ngắn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120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1. Chứng khoán kinh doanh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121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2. Dự phòng giảm giá chứng khoán kinh doanh (*)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122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(...)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(...)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3. Đầu tư nắm giữ đến ngày đáo hạn ngắn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123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4. Dự phòng đầu tư nắm giữ đến ngày đáo hạn ngắn hạn (*)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124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(...)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(...)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5. Đầu tư ngắn hạn khác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125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6. Dự phòng tổn thất các khoản đầu tư ngắn hạn khác (*)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126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(...)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(...)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III. Các khoản phải thu ngắn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130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1. Phải thu ngắn hạn của khách hàng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131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2. Trả trước cho người bán ngắn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132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3. Phải thu nội bộ ngắn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133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4. Phải thu theo tiến độ hợp đồng xây dựng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134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5. Phải thu ngắn hạn khác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135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6. Dự phòng phải thu ngắn hạn khó đòi (*)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136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(...)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(...)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7. Tài sản thiếu chờ xử lý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137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IV. Hàng tồn kho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140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1. Hàng tồn kho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141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2. Dự phòng giảm giá hàng tồn kho (*)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142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(...)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(...)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V. Tài sản sinh học ngắn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150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1. Súc vật nuôi lấy sản phẩm một lần ngắn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151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2. Cây trồng theo mùa vụ hoặc lấy sản phẩm một lần ngắn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152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3. Dự phòng tổn thất tài sản sinh học ngắn hạn (*)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153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(...)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(...)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VI. Tài sản ngắn hạn khác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160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1. Chi phí chờ phân bổ ngắn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161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2. Thuế GTGT được khấu trừ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162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3. Thuế và các khoản khác phải thu Nhà nước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163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4. Giao dịch mua bán lại trái phiếu Chính phủ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164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5. Tài sản ngắn hạn khác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165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B - TÀI SẢN DÀI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200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I. Các khoản phải thu dài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210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1. Phải thu dài hạn của khách hàng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211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2. Trả trước cho người bán dài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212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3. Vốn kinh doanh ở đơn vị trực thuộc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213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4. Phải thu nội bộ dài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214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5. Phải thu dài hạn khác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215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6. Dự phòng phải thu dài hạn khó đòi (*)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216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(...)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(...)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II. Tài sản cố định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220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1. Tài sản cố định hữu hình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221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- Nguyên giá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222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- Giá trị hao mòn lũy kế (*)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223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(...)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(...)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2. Tài sản cố định thuê tài chính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224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- Nguyên giá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225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- Giá trị hao mòn lũy kế (*)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226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(...)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(...)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3. Tài sản cố định vô hình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227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- Nguyên giá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228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- Giá trị hao mòn lũy kế (*)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229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(...)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(...)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III. Tài sản sinh học dài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230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1. Súc vật nuôi cho sản phẩm định kỳ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231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a) Súc vật nuôi cho sản phẩm định kỳ chưa đến giai đoạn trưởng thành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232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b) Súc vật nuôi cho sản phẩm định kỳ đến giai đoạn trưởng thành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233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- Nguyên giá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234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- Giá trị khấu hao lũy kế (*)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235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(...)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(...)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2. Súc vật nuôi lấy sản phẩm một lần dài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5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236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6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8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9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3. Cây trồng theo mùa vụ hoặc lấy sản phẩm một lần dài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237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E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4. Dự phòng tổn thất tài sản sinh học dài hạn (*)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238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(...)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2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(...)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3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4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7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IV. Bất động sản đầu tư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9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240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A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B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- Nguyên giá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241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- Giá trị hao mòn lũy kế (*)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3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242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(...)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(...)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A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B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V. Tài sản dở dang dài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250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E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7F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0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1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1. Chi phí sản xuất, kinh doanh dở dang dài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251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2. Chi phí xây dựng cơ bản dở dang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252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A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B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C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D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0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VI. Đầu tư tài chính dài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1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260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1. Đầu tư vào công ty con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261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9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2. Đầu tư vào công ty liên doanh, liên kết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262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D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3. Đầu tư góp vốn vào đơn vị khác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0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263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1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2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3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4. Dự phòng tổn thất đầu tư vào đơn vị khác dài hạn (*)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264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7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(...)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(...)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5. Đầu tư nắm giữ đến ngày đáo hạn dài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265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6. Dự phòng đầu tư nắm giữ đến ngày đáo hạn dài hạn (*)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266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1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(...)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(....)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6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VII. Tài sản dài hạn khác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270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1. Chi phí chờ phân bổ dài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271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2. Tài sản thuế thu nhập hoãn lại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272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5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3. Thiết bị, vật tư, phụ tùng thay thế dài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273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A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4. Tài sản dài hạn khác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274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CF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TỔNG CỘNG TÀI SẢN (280 = 100 + 200)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280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C - NỢ PHẢI TRẢ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300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9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I. Nợ ngắn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C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310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1. Phải trả người bán ngắn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1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311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5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2. Người mua trả tiền trước ngắn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6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312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7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8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9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A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3. Phải trả cổ tức, lợi nhuận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B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313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C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D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E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4. Thuế và các khoản phải nộp Nhà nước ngắn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0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314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5. Phải trả người lao động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315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6. Chi phí phải trả ngắn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316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7. Phải trả nội bộ ngắn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317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8. Phải trả theo tiến độ hợp đồng xây dựng ngắn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318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9. Doanh thu chờ phân bổ ngắn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319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10. Phải trả ngắn hạn khác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320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11. Vay và nợ thuê tài chính ngắn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321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12. Dự phòng phải trả ngắn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322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13. Quỹ khen thưởng, phúc lợi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323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14. Quỹ bình ổn giá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324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15. Giao dịch mua bán lại trái phiếu Chính phủ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325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A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B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C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D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E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2F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0">
            <w:pPr>
              <w:spacing w:before="120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II. Nợ dài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1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330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2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3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4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5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1. Phải trả người bán dài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6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331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7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8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2. Người mua trả tiền trước dài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332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C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3. Thuế và các khoản phải nộp Nhà nước dài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0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333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1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2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3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4. Chi phí phải trả dài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334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7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5. Phải trả nội bộ về vốn kinh doanh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335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B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C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D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E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6. Phải trả nội bộ dài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4F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336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0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7. Doanh thu chờ phân bổ dài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4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337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8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8. Phải trả dài hạn khác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9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338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A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9. Vay và nợ thuê tài chính dài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339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10. Trái phiếu chuyển đổi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340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5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6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7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11. Cổ phiếu ưu đãi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8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341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9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A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B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C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12. Thuế thu nhập hoãn lại phải trả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D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342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1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13. Dự phòng phải trả dài hạn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343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5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6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14. Quỹ phát triển khoa học và công nghệ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7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344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8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9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A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B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 - VỐN CHỦ SỞ HỮU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C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400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1. Vốn góp của chủ sở hữu</w:t>
            </w:r>
          </w:p>
        </w:tc>
        <w:tc>
          <w:tcPr>
            <w:tcBorders>
              <w:bottom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411</w:t>
            </w:r>
          </w:p>
        </w:tc>
        <w:tc>
          <w:tcPr>
            <w:tcBorders>
              <w:bottom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- Cổ phiếu phổ thông có quyền biểu quyết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411a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- Cổ phiếu ưu đãi</w:t>
            </w:r>
          </w:p>
        </w:tc>
        <w:tc>
          <w:tcPr>
            <w:tcBorders>
              <w:top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411b</w:t>
            </w:r>
          </w:p>
        </w:tc>
        <w:tc>
          <w:tcPr>
            <w:tcBorders>
              <w:top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2. Thặng dư vốn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412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3. Quyền chọn chuyển đổi trái phiếu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413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4. Vốn khác của chủ sở hữu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414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5. Cổ phiếu mua lại của chính mình (*)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415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(...)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(...)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6. Chênh lệch đánh giá lại tài sản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416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7. Chênh lệch tỷ giá hối đoái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417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8. Quỹ đầu tư phát triển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418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9. Quỹ khác thuộc vốn chủ sở hữu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419</w:t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5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6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7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10. Lợi nhuận sau thuế chưa phân phối</w:t>
            </w:r>
          </w:p>
        </w:tc>
        <w:tc>
          <w:tcPr>
            <w:tcBorders>
              <w:bottom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8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420</w:t>
            </w:r>
          </w:p>
        </w:tc>
        <w:tc>
          <w:tcPr>
            <w:tcBorders>
              <w:bottom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9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A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B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C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- LNST chưa phân phối lũy kế đến cuối kỳ trước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D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420a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E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BF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0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1">
            <w:pPr>
              <w:spacing w:before="12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- LNST chưa phân phối kỳ này</w:t>
            </w:r>
          </w:p>
        </w:tc>
        <w:tc>
          <w:tcPr>
            <w:tcBorders>
              <w:top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2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420b</w:t>
            </w:r>
          </w:p>
        </w:tc>
        <w:tc>
          <w:tcPr>
            <w:tcBorders>
              <w:top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3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4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5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TỔNG CỘNG NGUỒN VỐN (440 = 300 + 400)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440</w:t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9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B">
      <w:pPr>
        <w:spacing w:before="12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122"/>
        <w:gridCol w:w="2857"/>
        <w:gridCol w:w="3381"/>
        <w:tblGridChange w:id="0">
          <w:tblGrid>
            <w:gridCol w:w="3122"/>
            <w:gridCol w:w="2857"/>
            <w:gridCol w:w="33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C">
            <w:pPr>
              <w:spacing w:before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D">
            <w:pPr>
              <w:spacing w:before="12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E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rtl w:val="0"/>
              </w:rPr>
              <w:t xml:space="preserve">Phê duyệt, ngày... tháng... năm...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F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NGƯỜI LẬP</w:t>
            </w:r>
          </w:p>
        </w:tc>
        <w:tc>
          <w:tcPr/>
          <w:p w:rsidR="00000000" w:rsidDel="00000000" w:rsidP="00000000" w:rsidRDefault="00000000" w:rsidRPr="00000000" w14:paraId="000002D0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KẾ TOÁN TRƯỞNG</w:t>
            </w:r>
          </w:p>
        </w:tc>
        <w:tc>
          <w:tcPr/>
          <w:p w:rsidR="00000000" w:rsidDel="00000000" w:rsidP="00000000" w:rsidRDefault="00000000" w:rsidRPr="00000000" w14:paraId="000002D1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NGƯỜI ĐẠI DIỆN THEO </w:t>
              <w:br w:type="textWrapping"/>
              <w:t xml:space="preserve">PHÁP LUẬT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2">
            <w:pPr>
              <w:spacing w:before="120" w:lineRule="auto"/>
              <w:jc w:val="center"/>
              <w:rPr>
                <w:rFonts w:ascii="Arial" w:cs="Arial" w:eastAsia="Arial" w:hAnsi="Arial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rtl w:val="0"/>
              </w:rPr>
              <w:t xml:space="preserve">(Ký, họ tên)</w:t>
            </w:r>
          </w:p>
        </w:tc>
        <w:tc>
          <w:tcPr/>
          <w:p w:rsidR="00000000" w:rsidDel="00000000" w:rsidP="00000000" w:rsidRDefault="00000000" w:rsidRPr="00000000" w14:paraId="000002D3">
            <w:pPr>
              <w:spacing w:before="12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rtl w:val="0"/>
              </w:rPr>
              <w:t xml:space="preserve">(Ký, họ tên)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4">
            <w:pPr>
              <w:spacing w:before="120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000000"/>
                <w:rtl w:val="0"/>
              </w:rPr>
              <w:t xml:space="preserve">(Ký, họ tên, đóng dấu)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5">
      <w:pPr>
        <w:spacing w:before="120" w:lineRule="auto"/>
        <w:rPr>
          <w:rFonts w:ascii="Arial" w:cs="Arial" w:eastAsia="Arial" w:hAnsi="Arial"/>
          <w:b w:val="1"/>
          <w:bCs w:val="1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00000"/>
          <w:sz w:val="20"/>
          <w:szCs w:val="20"/>
          <w:rtl w:val="0"/>
        </w:rPr>
        <w:t xml:space="preserve">Ghi chú:</w:t>
      </w:r>
    </w:p>
    <w:p w:rsidR="00000000" w:rsidDel="00000000" w:rsidP="00000000" w:rsidRDefault="00000000" w:rsidRPr="00000000" w14:paraId="000002D6">
      <w:pPr>
        <w:spacing w:before="120" w:lineRule="auto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(1) Những chỉ tiêu không có số liệu được miễn trình bày nhưng không được đánh lại “Mã số” chỉ tiêu.</w:t>
      </w:r>
    </w:p>
    <w:p w:rsidR="00000000" w:rsidDel="00000000" w:rsidP="00000000" w:rsidRDefault="00000000" w:rsidRPr="00000000" w14:paraId="000002D7">
      <w:pPr>
        <w:spacing w:before="120" w:lineRule="auto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(2) Số liệu trong các chỉ tiêu có dấu (*) được ghi bằng số âm dưới hình thức ghi trong ngoặc đơn (...).</w:t>
      </w:r>
    </w:p>
    <w:p w:rsidR="00000000" w:rsidDel="00000000" w:rsidP="00000000" w:rsidRDefault="00000000" w:rsidRPr="00000000" w14:paraId="000002D8">
      <w:pPr>
        <w:spacing w:before="120" w:lineRule="auto"/>
        <w:rPr>
          <w:rFonts w:ascii="Arial" w:cs="Arial" w:eastAsia="Arial" w:hAnsi="Arial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0"/>
          <w:szCs w:val="20"/>
          <w:rtl w:val="0"/>
        </w:rPr>
        <w:t xml:space="preserve">(3) Đối với doanh nghiệp có kỳ kế toán năm là năm dương lịch (X) thì “Số cuối năm” có thể ghi là “31.12.X”; “Số đầu năm” có thể ghi là “01.01.X”.</w:t>
      </w:r>
    </w:p>
    <w:p w:rsidR="00000000" w:rsidDel="00000000" w:rsidP="00000000" w:rsidRDefault="00000000" w:rsidRPr="00000000" w14:paraId="000002D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4"/>
        <w:szCs w:val="24"/>
        <w:lang w:val="vi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80" w:before="360" w:line="278.00000000000006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160" w:line="278.00000000000006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160" w:line="278.00000000000006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="278.00000000000006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80" w:line="278.00000000000006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="278.00000000000006" w:lineRule="auto"/>
    </w:pPr>
    <w:rPr>
      <w:rFonts w:ascii="Calibri" w:cs="Calibri" w:eastAsia="Calibri" w:hAnsi="Calibri"/>
      <w:i w:val="1"/>
      <w:iCs w:val="1"/>
      <w:color w:val="595959"/>
    </w:rPr>
  </w:style>
  <w:style w:type="paragraph" w:styleId="Title">
    <w:name w:val="Title"/>
    <w:basedOn w:val="Normal"/>
    <w:next w:val="Normal"/>
    <w:pPr>
      <w:widowControl w:val="1"/>
      <w:spacing w:after="80" w:lineRule="auto"/>
    </w:pPr>
    <w:rPr>
      <w:rFonts w:ascii="Calibri" w:cs="Calibri" w:eastAsia="Calibri" w:hAnsi="Calibri"/>
      <w:color w:val="000000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521339"/>
    <w:pPr>
      <w:keepNext w:val="1"/>
      <w:keepLines w:val="1"/>
      <w:widowControl w:val="1"/>
      <w:spacing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lang w:eastAsia="en-US" w:val="en-US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521339"/>
    <w:pPr>
      <w:keepNext w:val="1"/>
      <w:keepLines w:val="1"/>
      <w:widowControl w:val="1"/>
      <w:spacing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lang w:eastAsia="en-US" w:val="en-US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521339"/>
    <w:pPr>
      <w:keepNext w:val="1"/>
      <w:keepLines w:val="1"/>
      <w:widowControl w:val="1"/>
      <w:spacing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lang w:eastAsia="en-US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521339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52133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21339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521339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521339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52133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52133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52133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521339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52133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52133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521339"/>
    <w:pPr>
      <w:widowControl w:val="1"/>
      <w:spacing w:after="160"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lang w:eastAsia="en-US" w:val="en-US"/>
    </w:rPr>
  </w:style>
  <w:style w:type="character" w:styleId="QuoteChar" w:customStyle="1">
    <w:name w:val="Quote Char"/>
    <w:basedOn w:val="DefaultParagraphFont"/>
    <w:link w:val="Quote"/>
    <w:uiPriority w:val="29"/>
    <w:rsid w:val="00521339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521339"/>
    <w:pPr>
      <w:widowControl w:val="1"/>
      <w:spacing w:after="160" w:line="278" w:lineRule="auto"/>
      <w:ind w:left="720"/>
      <w:contextualSpacing w:val="1"/>
    </w:pPr>
    <w:rPr>
      <w:rFonts w:asciiTheme="minorHAnsi" w:cstheme="minorBidi" w:eastAsiaTheme="minorHAnsi" w:hAnsiTheme="minorHAnsi"/>
      <w:color w:val="auto"/>
      <w:kern w:val="2"/>
      <w:lang w:eastAsia="en-US" w:val="en-US"/>
    </w:rPr>
  </w:style>
  <w:style w:type="character" w:styleId="IntenseEmphasis">
    <w:name w:val="Intense Emphasis"/>
    <w:basedOn w:val="DefaultParagraphFont"/>
    <w:uiPriority w:val="21"/>
    <w:qFormat w:val="1"/>
    <w:rsid w:val="00521339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521339"/>
    <w:pPr>
      <w:widowControl w:val="1"/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2f5496" w:themeColor="accent1" w:themeShade="0000BF"/>
      <w:kern w:val="2"/>
      <w:lang w:eastAsia="en-US" w:val="en-US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21339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521339"/>
    <w:rPr>
      <w:b w:val="1"/>
      <w:bCs w:val="1"/>
      <w:smallCaps w:val="1"/>
      <w:color w:val="2f5496" w:themeColor="accent1" w:themeShade="0000BF"/>
      <w:spacing w:val="5"/>
    </w:rPr>
  </w:style>
  <w:style w:type="table" w:styleId="TableGrid">
    <w:name w:val="Table Grid"/>
    <w:aliases w:val="unTrang Web nay coi cung hay,vao coi thu di http://nhatquanglan.xlphp.net/,unLoi em noi cho tinh chung ta,nhu doan cuoi trong cuon phim buon. Nguoi da den nhu la giac mo roi ra di cho anh bat ngo... http://nhatquanglan.xlphp.net/"/>
    <w:basedOn w:val="TableNormal"/>
    <w:rsid w:val="00521339"/>
    <w:pPr>
      <w:spacing w:after="0" w:line="240" w:lineRule="auto"/>
    </w:pPr>
    <w:rPr>
      <w:rFonts w:ascii="Times New Roman" w:cs="Times New Roman" w:eastAsia="Times New Roman" w:hAnsi="Times New Roman"/>
      <w:kern w:val="0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widowControl w:val="1"/>
      <w:spacing w:after="160" w:line="278.00000000000006" w:lineRule="auto"/>
    </w:pPr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yDkxz2Igdlhq0Exs6SQYNPrLYw==">CgMxLjA4AHIhMUlGOFdwbGdKS1QwcUZCSTZXLVZLbGVDOWdMbGhfZUw0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2025-11-04T02:29:00Z</dcterms:created>
  <dc:creator>Trần Lan</dc:creator>
</cp:coreProperties>
</file>